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Kerrie Heenan (School Principal) on 06 February, 2019 at 03:13 PM</w:t>
                              <w:br/>
                              <w:t>Endorsed by David Kilmartin (Senior Education Improvement Leader) on 11 February, 2019 at 12:26 PM</w:t>
                              <w:br/>
                              <w:t>Endorsed by Todd Sprague (School Council President) on 15 February, 2019 at 09:10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Kerrie Heenan (School Principal) on 06 February, 2019 at 03:13 PM</w:t>
                        <w:br/>
                        <w:t>Endorsed by David Kilmartin (Senior Education Improvement Leader) on 11 February, 2019 at 12:26 PM</w:t>
                        <w:br/>
                        <w:t>Endorsed by Todd Sprague (School Council President) on 15 February, 2019 at 09:10 PM</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The Lakes South Morang P-9 School (8846)</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center</wp:align>
            </wp:positionH>
            <wp:positionV relativeFrom="paragraph">
              <wp:posOffset>0</wp:posOffset>
            </wp:positionV>
            <wp:extent cx="2495550" cy="3524250"/>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2495550" cy="3524250"/>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2019</w:t>
      </w:r>
    </w:p>
    <w:p w:rsidR="00C703C5" w:rsidRPr="00F266E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tblPr>
      <w:tblGrid>
        <w:gridCol w:w="1595"/>
        <w:gridCol w:w="250"/>
        <w:gridCol w:w="6255"/>
        <w:gridCol w:w="7020"/>
      </w:tblGrid>
      <w:tr w:rsidTr="007A6022">
        <w:tblPrEx>
          <w:tblW w:w="15120" w:type="dxa"/>
          <w:tblInd w:w="-455" w:type="dxa"/>
          <w:tblCellMar>
            <w:top w:w="115" w:type="dxa"/>
            <w:left w:w="115" w:type="dxa"/>
            <w:bottom w:w="115" w:type="dxa"/>
            <w:right w:w="115" w:type="dxa"/>
          </w:tblCellMar>
          <w:tblLook w:val="04A0"/>
        </w:tblPrEx>
        <w:trPr>
          <w:trHeight w:val="515"/>
        </w:trPr>
        <w:tc>
          <w:tcPr>
            <w:tcW w:w="1595" w:type="dxa"/>
            <w:shd w:val="clear" w:color="auto" w:fill="D9D9D9" w:themeFill="background1" w:themeFillShade="D9"/>
          </w:tcPr>
          <w:p w:rsidR="007A6022" w:rsidRPr="000F7465" w:rsidP="000F7465">
            <w:pPr>
              <w:pStyle w:val="Heading3"/>
              <w:spacing w:before="0" w:after="0"/>
              <w:ind w:right="-374"/>
              <w:rPr>
                <w:szCs w:val="24"/>
              </w:rPr>
            </w:pPr>
          </w:p>
        </w:tc>
        <w:tc>
          <w:tcPr>
            <w:tcW w:w="6505" w:type="dxa"/>
            <w:gridSpan w:val="2"/>
            <w:shd w:val="clear" w:color="auto" w:fill="D9D9D9" w:themeFill="background1" w:themeFillShade="D9"/>
          </w:tcPr>
          <w:p w:rsidR="007A6022" w:rsidP="000F7465">
            <w:pPr>
              <w:pStyle w:val="Heading3"/>
              <w:spacing w:before="0" w:after="0"/>
              <w:ind w:right="-374"/>
              <w:rPr>
                <w:szCs w:val="24"/>
              </w:rPr>
            </w:pPr>
            <w:r w:rsidRPr="000F7465">
              <w:rPr>
                <w:szCs w:val="24"/>
              </w:rPr>
              <w:t>FISO Improvement Model Dimensions</w:t>
            </w:r>
          </w:p>
          <w:p w:rsidR="007A6022" w:rsidRPr="000F7465"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P="000F7465">
            <w:pPr>
              <w:pStyle w:val="Heading3"/>
              <w:spacing w:before="0" w:after="0"/>
              <w:ind w:right="-374"/>
              <w:rPr>
                <w:szCs w:val="24"/>
              </w:rPr>
            </w:pPr>
            <w:r w:rsidRPr="000F7465">
              <w:rPr>
                <w:szCs w:val="24"/>
              </w:rPr>
              <w:t>Self-evaluation Level</w:t>
            </w:r>
          </w:p>
        </w:tc>
      </w:tr>
      <w:tr w:rsidTr="007A6022">
        <w:tblPrEx>
          <w:tblW w:w="15120" w:type="dxa"/>
          <w:tblInd w:w="-455" w:type="dxa"/>
          <w:tblCellMar>
            <w:top w:w="115" w:type="dxa"/>
            <w:left w:w="115" w:type="dxa"/>
            <w:bottom w:w="115" w:type="dxa"/>
            <w:right w:w="115" w:type="dxa"/>
          </w:tblCellMar>
          <w:tblLook w:val="04A0"/>
        </w:tblPrEx>
        <w:trPr>
          <w:cantSplit/>
          <w:trHeight w:val="101"/>
        </w:trPr>
        <w:tc>
          <w:tcPr>
            <w:tcW w:w="1595" w:type="dxa"/>
            <w:vMerge w:val="restart"/>
            <w:shd w:val="clear" w:color="auto" w:fill="62BFEB"/>
            <w:textDirection w:val="btLr"/>
          </w:tcPr>
          <w:p w:rsidR="007A6022" w:rsidRPr="00DD4A39"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P="00581393">
            <w:pPr>
              <w:pStyle w:val="ESBodyText"/>
              <w:ind w:left="113" w:right="113"/>
              <w:rPr>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Building practice excellence</w:t>
            </w:r>
          </w:p>
        </w:tc>
        <w:tc>
          <w:tcPr>
            <w:tcW w:w="7020" w:type="dxa"/>
          </w:tcPr>
          <w:p w:rsidR="007A6022" w:rsidRPr="00715EBF" w:rsidP="00581393">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Curriculum planning and assessment</w:t>
            </w:r>
          </w:p>
        </w:tc>
        <w:tc>
          <w:tcPr>
            <w:tcW w:w="7020" w:type="dxa"/>
          </w:tcPr>
          <w:p w:rsidR="007A6022" w:rsidRPr="00715EBF" w:rsidP="00581393">
            <w:pPr>
              <w:pStyle w:val="ESBodyText"/>
              <w:rPr>
                <w:sz w:val="20"/>
              </w:rPr>
            </w:pPr>
            <w:r>
              <w:rPr>
                <w:sz w:val="20"/>
              </w:rPr>
              <w:t>Evolving</w:t>
            </w:r>
          </w:p>
        </w:tc>
      </w:tr>
      <w:tr w:rsidTr="007A6022">
        <w:tblPrEx>
          <w:tblW w:w="15120" w:type="dxa"/>
          <w:tblInd w:w="-455" w:type="dxa"/>
          <w:tblCellMar>
            <w:top w:w="115" w:type="dxa"/>
            <w:left w:w="115" w:type="dxa"/>
            <w:bottom w:w="115" w:type="dxa"/>
            <w:right w:w="115" w:type="dxa"/>
          </w:tblCellMar>
          <w:tblLook w:val="04A0"/>
        </w:tblPrEx>
        <w:trPr>
          <w:cantSplit/>
          <w:trHeight w:val="65"/>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Evidence-based high-impact teaching strategies</w:t>
            </w:r>
          </w:p>
        </w:tc>
        <w:tc>
          <w:tcPr>
            <w:tcW w:w="7020" w:type="dxa"/>
          </w:tcPr>
          <w:p w:rsidR="007A6022" w:rsidRPr="00715EBF" w:rsidP="00581393">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Evaluating impact on learning</w:t>
            </w:r>
          </w:p>
        </w:tc>
        <w:tc>
          <w:tcPr>
            <w:tcW w:w="7020" w:type="dxa"/>
          </w:tcPr>
          <w:p w:rsidR="007A6022" w:rsidRPr="00715EBF" w:rsidP="00581393">
            <w:pPr>
              <w:pStyle w:val="ESBodyText"/>
              <w:rPr>
                <w:sz w:val="20"/>
              </w:rPr>
            </w:pPr>
            <w:r>
              <w:rPr>
                <w:sz w:val="20"/>
              </w:rPr>
              <w:t>Evolving</w:t>
            </w: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56"/>
        </w:trPr>
        <w:tc>
          <w:tcPr>
            <w:tcW w:w="1530" w:type="dxa"/>
            <w:vMerge w:val="restart"/>
            <w:shd w:val="clear" w:color="auto" w:fill="FFCA08"/>
            <w:textDirection w:val="btLr"/>
          </w:tcPr>
          <w:p w:rsidR="007A6022" w:rsidRPr="00AB3321"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leadership teams</w:t>
            </w:r>
          </w:p>
        </w:tc>
        <w:tc>
          <w:tcPr>
            <w:tcW w:w="7020" w:type="dxa"/>
          </w:tcPr>
          <w:p w:rsidR="007A6022" w:rsidRPr="00715EBF" w:rsidP="00EE49B9">
            <w:pPr>
              <w:pStyle w:val="ESBodyText"/>
              <w:rPr>
                <w:sz w:val="20"/>
                <w:szCs w:val="24"/>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Instructional and shared leadership</w:t>
            </w:r>
          </w:p>
        </w:tc>
        <w:tc>
          <w:tcPr>
            <w:tcW w:w="7020" w:type="dxa"/>
          </w:tcPr>
          <w:p w:rsidR="007A6022" w:rsidRPr="00715EBF" w:rsidP="00EE49B9">
            <w:pPr>
              <w:pStyle w:val="ESBodyText"/>
              <w:rPr>
                <w:sz w:val="20"/>
              </w:rPr>
            </w:pPr>
            <w:r>
              <w:rPr>
                <w:sz w:val="20"/>
              </w:rPr>
              <w:t>Embedding moving towards Excelling</w:t>
            </w: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Strategic resource management</w:t>
            </w:r>
          </w:p>
        </w:tc>
        <w:tc>
          <w:tcPr>
            <w:tcW w:w="7020" w:type="dxa"/>
          </w:tcPr>
          <w:p w:rsidR="007A6022" w:rsidRPr="00715EBF" w:rsidP="00EE49B9">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11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Vision, values and culture</w:t>
            </w:r>
          </w:p>
        </w:tc>
        <w:tc>
          <w:tcPr>
            <w:tcW w:w="7020" w:type="dxa"/>
          </w:tcPr>
          <w:p w:rsidR="007A6022" w:rsidRPr="00715EBF" w:rsidP="00EE49B9">
            <w:pPr>
              <w:pStyle w:val="ESBodyText"/>
              <w:rPr>
                <w:sz w:val="20"/>
              </w:rPr>
            </w:pPr>
            <w:r>
              <w:rPr>
                <w:sz w:val="20"/>
              </w:rPr>
              <w:t>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236"/>
        </w:trPr>
        <w:tc>
          <w:tcPr>
            <w:tcW w:w="1530" w:type="dxa"/>
            <w:vMerge w:val="restart"/>
            <w:shd w:val="clear" w:color="auto" w:fill="F8A718"/>
            <w:textDirection w:val="btLr"/>
          </w:tcPr>
          <w:p w:rsidR="007A6022" w:rsidRPr="00AB3321"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rsidR="007A6022" w:rsidRPr="00715EBF" w:rsidP="004F6D57">
            <w:pPr>
              <w:pStyle w:val="ESBodyText"/>
              <w:rPr>
                <w:sz w:val="20"/>
                <w:szCs w:val="24"/>
              </w:rPr>
            </w:pPr>
          </w:p>
        </w:tc>
        <w:tc>
          <w:tcPr>
            <w:tcW w:w="6278" w:type="dxa"/>
            <w:tcBorders>
              <w:left w:val="nil"/>
            </w:tcBorders>
          </w:tcPr>
          <w:p w:rsidR="007A6022" w:rsidRPr="00715EBF" w:rsidP="004F6D57">
            <w:pPr>
              <w:pStyle w:val="ESBodyText"/>
              <w:rPr>
                <w:sz w:val="20"/>
                <w:szCs w:val="24"/>
              </w:rPr>
            </w:pPr>
            <w:r>
              <w:rPr>
                <w:rFonts w:ascii="Arial" w:eastAsia="Arial" w:hAnsi="Arial" w:cs="Arial"/>
                <w:color w:val="000000"/>
                <w:sz w:val="20"/>
              </w:rPr>
              <w:t>Empowering students and building school pride</w:t>
            </w:r>
          </w:p>
        </w:tc>
        <w:tc>
          <w:tcPr>
            <w:tcW w:w="7020" w:type="dxa"/>
          </w:tcPr>
          <w:p w:rsidR="007A6022" w:rsidRPr="00715EBF" w:rsidP="004F6D57">
            <w:pPr>
              <w:pStyle w:val="ESBodyText"/>
              <w:rPr>
                <w:sz w:val="20"/>
                <w:szCs w:val="24"/>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173"/>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Setting expectations and promoting inclusion</w:t>
            </w:r>
          </w:p>
        </w:tc>
        <w:tc>
          <w:tcPr>
            <w:tcW w:w="7020" w:type="dxa"/>
          </w:tcPr>
          <w:p w:rsidR="007A6022" w:rsidRPr="00715EBF" w:rsidP="004F6D57">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Health and wellbeing</w:t>
            </w:r>
          </w:p>
        </w:tc>
        <w:tc>
          <w:tcPr>
            <w:tcW w:w="7020" w:type="dxa"/>
          </w:tcPr>
          <w:p w:rsidR="007A6022" w:rsidRPr="00715EBF" w:rsidP="004F6D57">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Intellectual engagement and self-awareness</w:t>
            </w:r>
          </w:p>
        </w:tc>
        <w:tc>
          <w:tcPr>
            <w:tcW w:w="7020" w:type="dxa"/>
          </w:tcPr>
          <w:p w:rsidR="007A6022" w:rsidRPr="00715EBF" w:rsidP="004F6D57">
            <w:pPr>
              <w:pStyle w:val="ESBodyText"/>
              <w:rPr>
                <w:sz w:val="20"/>
              </w:rPr>
            </w:pPr>
            <w:r>
              <w:rPr>
                <w:sz w:val="20"/>
              </w:rPr>
              <w:t>Evolving moving towards 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155"/>
        </w:trPr>
        <w:tc>
          <w:tcPr>
            <w:tcW w:w="1530" w:type="dxa"/>
            <w:vMerge w:val="restart"/>
            <w:shd w:val="clear" w:color="auto" w:fill="AF96B4"/>
            <w:textDirection w:val="btLr"/>
          </w:tcPr>
          <w:p w:rsidR="007A6022" w:rsidRPr="00AB3321"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communities</w:t>
            </w:r>
          </w:p>
        </w:tc>
        <w:tc>
          <w:tcPr>
            <w:tcW w:w="7020" w:type="dxa"/>
          </w:tcPr>
          <w:p w:rsidR="007A6022" w:rsidRPr="00715EBF" w:rsidP="00EE49B9">
            <w:pPr>
              <w:pStyle w:val="ESBodyText"/>
              <w:rPr>
                <w:sz w:val="20"/>
                <w:szCs w:val="24"/>
              </w:rPr>
            </w:pPr>
            <w:r>
              <w:rPr>
                <w:sz w:val="20"/>
              </w:rPr>
              <w:t>Embedding moving towards Excelling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Global citizenship</w:t>
            </w:r>
          </w:p>
        </w:tc>
        <w:tc>
          <w:tcPr>
            <w:tcW w:w="7020" w:type="dxa"/>
          </w:tcPr>
          <w:p w:rsidR="007A6022" w:rsidRPr="00715EBF" w:rsidP="00EE49B9">
            <w:pPr>
              <w:pStyle w:val="ESBodyText"/>
              <w:rPr>
                <w:sz w:val="20"/>
              </w:rPr>
            </w:pPr>
            <w:r>
              <w:rPr>
                <w:sz w:val="20"/>
              </w:rPr>
              <w:t>Embedding moving towards Excelling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Networks with schools, services and agencies</w:t>
            </w:r>
          </w:p>
        </w:tc>
        <w:tc>
          <w:tcPr>
            <w:tcW w:w="7020" w:type="dxa"/>
          </w:tcPr>
          <w:p w:rsidR="007A6022" w:rsidRPr="00715EBF" w:rsidP="00EE49B9">
            <w:pPr>
              <w:pStyle w:val="ESBodyText"/>
              <w:rPr>
                <w:sz w:val="20"/>
              </w:rPr>
            </w:pPr>
            <w:r>
              <w:rPr>
                <w:sz w:val="20"/>
              </w:rPr>
              <w:t>Embedding moving towards Excelling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Parents and carers as partners</w:t>
            </w:r>
          </w:p>
        </w:tc>
        <w:tc>
          <w:tcPr>
            <w:tcW w:w="7020" w:type="dxa"/>
          </w:tcPr>
          <w:p w:rsidR="007A6022" w:rsidRPr="00715EBF" w:rsidP="00EE49B9">
            <w:pPr>
              <w:pStyle w:val="ESBodyText"/>
              <w:rPr>
                <w:sz w:val="20"/>
              </w:rPr>
            </w:pPr>
            <w:r>
              <w:rPr>
                <w:sz w:val="20"/>
              </w:rPr>
              <w:t>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The school review identified  a quality assurance process to ensure that high impact, evidence–based pedagogical and assessment practices were not enacted by all teachers.</w:t>
              <w:br/>
              <w:t>Our teachers need to pinpoint and build from point of need for individuals, student cohorts and groups of students. A clear relationship between the curriculum standards, learning goals, learning activities and assessment strategies is required. The availability of consistent formative assessment data will provide the basis of regular feedback and reporting to students and parents who were engaged as partners in improving student outcomes.</w:t>
              <w:br/>
              <w:t xml:space="preserve"> The school found that student learning was negatively impacted by the behaviour of some students in some classes. Staff were not always effectively using the learning spaces to provide a stimulating learning environment for students. There was inconsistency in the application of student behaviour guidelines, and the whole school approach to wellbeing was not being implemented consistently.</w:t>
              <w:br/>
              <w:t xml:space="preserve"> The school has identified the need to give students more voice and agency in their learning and to allow students to be connected to their world. There was limited student agency in building authentic learning partnerships. Students needed to develop their ability to self–regulate their learning and to actively challenge themselves. There is a need to develop teacher capacity to empower all students to reach their full potential. There is a need to ensure school leaders are active instructional leaders and develop a culture of trust that encourages risk taking resulting in innovation and improvement. There were limited formal avenues existing for students to give voice to their interests and needs, and to regularly have input into curriculum planning, teaching and assessment.</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sidR="00175B96">
              <w:rPr>
                <w:b/>
                <w:noProof/>
                <w:sz w:val="20"/>
                <w:szCs w:val="20"/>
              </w:rPr>
              <w:t>2019</w:t>
            </w:r>
          </w:p>
        </w:tc>
        <w:tc>
          <w:tcPr>
            <w:tcW w:w="11215" w:type="dxa"/>
          </w:tcPr>
          <w:p w:rsidR="00C703C5" w:rsidRPr="006C72CF" w:rsidP="00EE49B9">
            <w:pPr>
              <w:pStyle w:val="ESBodyText"/>
              <w:rPr>
                <w:sz w:val="20"/>
              </w:rPr>
            </w:pPr>
            <w:r>
              <w:rPr>
                <w:sz w:val="20"/>
              </w:rPr>
              <w:t xml:space="preserve">See AIP KIS Strategies for 2019. </w:t>
              <w:br/>
              <w:t>To maximise the achievement and learning growth of every student in literacy and numeracy</w:t>
              <w:br/>
              <w:t>To ensure student wellbeing is enabled by a supportive and productive learning environment.</w:t>
              <w:br/>
              <w:t>To optimise the engagement of student in their learning with a focus on student agency.</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To maximise the achievement and learning growth of every student in literacy and numeracy.</w:t>
            </w:r>
          </w:p>
        </w:tc>
        <w:tc>
          <w:tcPr>
            <w:tcW w:w="1457" w:type="dxa"/>
            <w:vMerge w:val="restart"/>
            <w:noWrap w:val="0"/>
          </w:tcPr>
          <w:p w:rsidR="00B06A30" w:rsidRPr="00BB23C7" w:rsidP="00BB23C7">
            <w:pPr>
              <w:pStyle w:val="ESBodyText"/>
              <w:spacing w:after="0"/>
            </w:pPr>
            <w:r>
              <w:rPr>
                <w:sz w:val="20"/>
              </w:rPr>
              <w:t>Yes</w:t>
            </w: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2021, as a minimum the students’ relative growth in NAPLAN is at 25 per cent low growth, 50 per cent medium growth, and 25 per cent high growth in the areas of Reading, Writing and Numeracy in Years 3, 5, 7 and 9.</w:t>
            </w:r>
          </w:p>
          <w:p/>
        </w:tc>
        <w:tc>
          <w:tcPr>
            <w:tcW w:w="3945" w:type="dxa"/>
            <w:noWrap w:val="0"/>
          </w:tcPr>
          <w:p w:rsidR="00B06A30" w:rsidRPr="00BB23C7" w:rsidP="00BB23C7">
            <w:pPr>
              <w:pStyle w:val="ESBodyText"/>
              <w:spacing w:after="0"/>
            </w:pPr>
            <w:r>
              <w:rPr>
                <w:sz w:val="20"/>
              </w:rPr>
              <w:t xml:space="preserve">By the completion of 2019 NAPLAN relative growth ( Low.Medium &amp; High) will increase by 5% in comparison to the 2018 data. </w:t>
              <w:br/>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 xml:space="preserve">By 2021, to be at or above the NAPLAN state mean in Reading, Writing and Numeracy in Years 3, 5, 7 and 9. </w:t>
            </w:r>
          </w:p>
          <w:p/>
        </w:tc>
        <w:tc>
          <w:tcPr>
            <w:tcW w:w="3945" w:type="dxa"/>
            <w:noWrap w:val="0"/>
          </w:tcPr>
          <w:p w:rsidR="00B06A30" w:rsidRPr="00BB23C7" w:rsidP="00BB23C7">
            <w:pPr>
              <w:pStyle w:val="ESBodyText"/>
              <w:spacing w:after="0"/>
            </w:pPr>
            <w:r>
              <w:rPr>
                <w:sz w:val="20"/>
              </w:rPr>
              <w:t>by the completion of 2019 NAPLAN data in Reading, Writing &amp; Numeracy in Years 3, 5, 7 &amp; 9 will be at or above the National average/mean.</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School Staff Survey (SSS) to show:</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394"/>
              <w:gridCol w:w="157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342"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1644"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Collective focus on Teaching and Learning</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Collective efficacy</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Collective responsibility</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Academic Emphasis</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bl>
          <w:p/>
        </w:tc>
        <w:tc>
          <w:tcPr>
            <w:tcW w:w="3945" w:type="dxa"/>
            <w:noWrap w:val="0"/>
          </w:tcPr>
          <w:p w:rsidR="00B06A30" w:rsidRPr="00BB23C7" w:rsidP="00BB23C7">
            <w:pPr>
              <w:pStyle w:val="ESBodyText"/>
              <w:spacing w:after="0"/>
            </w:pPr>
            <w:r>
              <w:rPr>
                <w:sz w:val="20"/>
              </w:rPr>
              <w:t>By the completion of 2019. School Staff Survey targets will increase by at least 10% across each Domain.</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Reduced inconsistency between the teacher judgement data and the NAPLAN data from the 2018 data in Literacy and Numeracy so that the difference is no more than 10 per cent.</w:t>
            </w:r>
          </w:p>
          <w:p/>
        </w:tc>
        <w:tc>
          <w:tcPr>
            <w:tcW w:w="3945" w:type="dxa"/>
            <w:noWrap w:val="0"/>
          </w:tcPr>
          <w:p w:rsidR="00B06A30" w:rsidRPr="00BB23C7" w:rsidP="00BB23C7">
            <w:pPr>
              <w:pStyle w:val="ESBodyText"/>
              <w:spacing w:after="0"/>
            </w:pPr>
            <w:r>
              <w:rPr>
                <w:sz w:val="20"/>
              </w:rPr>
              <w:t>The school meeting schedule will be restructured to ensure that 50% of available time is allocated to building capacity in teaching and learning.</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To ensure student wellbeing is enabled by a supportive and productive learning environment.</w:t>
            </w:r>
          </w:p>
        </w:tc>
        <w:tc>
          <w:tcPr>
            <w:tcW w:w="1457" w:type="dxa"/>
            <w:vMerge w:val="restart"/>
            <w:noWrap w:val="0"/>
          </w:tcPr>
          <w:p w:rsidR="00B06A30" w:rsidRPr="00BB23C7" w:rsidP="00BB23C7">
            <w:pPr>
              <w:pStyle w:val="ESBodyText"/>
              <w:spacing w:after="0"/>
            </w:pPr>
            <w:r>
              <w:rPr>
                <w:sz w:val="20"/>
              </w:rPr>
              <w:t>Yes</w:t>
            </w:r>
          </w:p>
        </w:tc>
        <w:tc>
          <w:tcPr>
            <w:tcW w:w="6219" w:type="dxa"/>
          </w:tcPr>
          <w:p>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AToSS dimensions to show:</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73"/>
              <w:gridCol w:w="1117"/>
              <w:gridCol w:w="1479"/>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AToSS 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Effective Classroom behaviour</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60%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&gt; 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Effective teaching time</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70%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Teacher concern</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50%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 is an average of the results for the Years 4–6 and Years 7–9.</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 </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0"/>
                      <w:szCs w:val="20"/>
                    </w:rPr>
                    <w:t> </w:t>
                  </w:r>
                </w:p>
              </w:tc>
            </w:tr>
          </w:tbl>
          <w:p/>
        </w:tc>
        <w:tc>
          <w:tcPr>
            <w:tcW w:w="3945" w:type="dxa"/>
            <w:noWrap w:val="0"/>
          </w:tcPr>
          <w:p w:rsidR="00B06A30" w:rsidRPr="00BB23C7" w:rsidP="00BB23C7">
            <w:pPr>
              <w:pStyle w:val="ESBodyText"/>
              <w:spacing w:after="0"/>
            </w:pPr>
            <w:r>
              <w:rPr>
                <w:sz w:val="20"/>
              </w:rPr>
              <w:t>By the completion of 2019. School AToSS  targets will increase by at least 10% across each Dimension.</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SSS domains to show:</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4394"/>
              <w:gridCol w:w="751"/>
              <w:gridCol w:w="824"/>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4342"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1644"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644"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Collective focus on Student Learning</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70%</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Shielding and Buffering</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49%</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&gt;80%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Trust in students and parents</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43%</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&gt;80%</w:t>
                  </w:r>
                </w:p>
              </w:tc>
            </w:tr>
            <w:tr>
              <w:tblPrEx>
                <w:tblCellMar>
                  <w:top w:w="15" w:type="dxa"/>
                  <w:left w:w="15" w:type="dxa"/>
                  <w:bottom w:w="15" w:type="dxa"/>
                  <w:right w:w="15" w:type="dxa"/>
                </w:tblCellMar>
              </w:tblPrEx>
              <w:tc>
                <w:tcPr>
                  <w:tcW w:w="4342"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Academic Emphasis</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40%</w:t>
                  </w:r>
                </w:p>
              </w:tc>
              <w:tc>
                <w:tcPr>
                  <w:tcW w:w="1644"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c>
          <w:tcPr>
            <w:tcW w:w="3945" w:type="dxa"/>
            <w:noWrap w:val="0"/>
          </w:tcPr>
          <w:p w:rsidR="00B06A30" w:rsidRPr="00BB23C7" w:rsidP="00BB23C7">
            <w:pPr>
              <w:pStyle w:val="ESBodyText"/>
              <w:spacing w:after="0"/>
            </w:pPr>
            <w:r>
              <w:rPr>
                <w:sz w:val="20"/>
              </w:rPr>
              <w:t>By the completion of 2019. SSS targets will increase by at least 10% across each Dimension.</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ind w:left="28"/>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POS Dimensions to show:</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78"/>
              <w:gridCol w:w="1105"/>
              <w:gridCol w:w="1486"/>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Confidence and resilience</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Promoting positive behaviours</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83%</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c>
          <w:tcPr>
            <w:tcW w:w="3945" w:type="dxa"/>
            <w:noWrap w:val="0"/>
          </w:tcPr>
          <w:p w:rsidR="00B06A30" w:rsidRPr="00BB23C7" w:rsidP="00BB23C7">
            <w:pPr>
              <w:pStyle w:val="ESBodyText"/>
              <w:spacing w:after="0"/>
            </w:pPr>
            <w:r>
              <w:rPr>
                <w:sz w:val="20"/>
              </w:rPr>
              <w:t>By the completion of 2019. the POS targets will continue to be maintained or improved.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To optimise the engagement of student in their learning with a focus on student agency.</w:t>
            </w:r>
          </w:p>
        </w:tc>
        <w:tc>
          <w:tcPr>
            <w:tcW w:w="1457" w:type="dxa"/>
            <w:vMerge w:val="restart"/>
            <w:noWrap w:val="0"/>
          </w:tcPr>
          <w:p w:rsidR="00B06A30" w:rsidRPr="00BB23C7" w:rsidP="00BB23C7">
            <w:pPr>
              <w:pStyle w:val="ESBodyText"/>
              <w:spacing w:after="0"/>
            </w:pPr>
            <w:r>
              <w:rPr>
                <w:sz w:val="20"/>
              </w:rPr>
              <w:t>Yes</w:t>
            </w:r>
          </w:p>
        </w:tc>
        <w:tc>
          <w:tcPr>
            <w:tcW w:w="6219" w:type="dxa"/>
          </w:tcPr>
          <w:p>
            <w:pPr>
              <w:spacing w:before="120" w:line="240" w:lineRule="auto"/>
              <w:ind w:left="28"/>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AToSS to show:</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79"/>
              <w:gridCol w:w="1122"/>
              <w:gridCol w:w="1468"/>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AToSS 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*Student voice and agency</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52%</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High expectations for success</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Motivation and interest</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75%</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Differentiated learning challenge</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67%</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Stimulating learning</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is an average of the results for the Years 4–6 and Years 7–9.</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c>
          <w:tcPr>
            <w:tcW w:w="3945" w:type="dxa"/>
            <w:noWrap w:val="0"/>
          </w:tcPr>
          <w:p w:rsidR="00B06A30" w:rsidRPr="00BB23C7" w:rsidP="00BB23C7">
            <w:pPr>
              <w:pStyle w:val="ESBodyText"/>
              <w:spacing w:after="0"/>
            </w:pPr>
            <w:r>
              <w:rPr>
                <w:sz w:val="20"/>
              </w:rPr>
              <w:t xml:space="preserve">By the completion of 2019. AToSS argets will increase by at least 15% in Student Voice &amp; Agency.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SSS to show:</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74"/>
              <w:gridCol w:w="1107"/>
              <w:gridCol w:w="1488"/>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SSS 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Trust in students and parents</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43%</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80%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Academic emphasis</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40%</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c>
          <w:tcPr>
            <w:tcW w:w="3945" w:type="dxa"/>
            <w:noWrap w:val="0"/>
          </w:tcPr>
          <w:p w:rsidR="00B06A30" w:rsidRPr="00BB23C7" w:rsidP="00BB23C7">
            <w:pPr>
              <w:pStyle w:val="ESBodyText"/>
              <w:spacing w:after="0"/>
            </w:pPr>
            <w:r>
              <w:rPr>
                <w:sz w:val="20"/>
              </w:rPr>
              <w:t>By the completion of 2019. School Staff Survey targets will increase by at least 10% across each Dimension.</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ind w:left="28"/>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POS to show:</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79"/>
              <w:gridCol w:w="1105"/>
              <w:gridCol w:w="148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917"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POS Dimension</w:t>
                  </w:r>
                </w:p>
              </w:tc>
              <w:tc>
                <w:tcPr>
                  <w:tcW w:w="1051"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2018</w:t>
                  </w:r>
                </w:p>
              </w:tc>
              <w:tc>
                <w:tcPr>
                  <w:tcW w:w="1527"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 target</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Student motivation and support</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66%</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r>
              <w:tblPrEx>
                <w:tblCellMar>
                  <w:top w:w="15" w:type="dxa"/>
                  <w:left w:w="15" w:type="dxa"/>
                  <w:bottom w:w="15" w:type="dxa"/>
                  <w:right w:w="15" w:type="dxa"/>
                </w:tblCellMar>
              </w:tblPrEx>
              <w:tc>
                <w:tcPr>
                  <w:tcW w:w="3917"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Stimulating learning</w:t>
                  </w:r>
                </w:p>
              </w:tc>
              <w:tc>
                <w:tcPr>
                  <w:tcW w:w="10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527"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&gt; 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c>
          <w:tcPr>
            <w:tcW w:w="3945" w:type="dxa"/>
            <w:noWrap w:val="0"/>
          </w:tcPr>
          <w:p w:rsidR="00B06A30" w:rsidRPr="00BB23C7" w:rsidP="00BB23C7">
            <w:pPr>
              <w:pStyle w:val="ESBodyText"/>
              <w:spacing w:after="0"/>
            </w:pPr>
            <w:r>
              <w:rPr>
                <w:sz w:val="20"/>
              </w:rPr>
              <w:t>By the completion of 2019. POS Survey targets will increase by at least 10% across each Dimension.</w:t>
            </w: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maximise the achievement and learning growth of every student in literacy and numeracy.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By the completion of 2019 NAPLAN relative growth ( Low.Medium &amp; High) will increase by 5% in comparison to the 2018 data. </w:t>
              <w:br/>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by the completion of 2019 NAPLAN data in Reading, Writing &amp; Numeracy in Years 3, 5, 7 &amp; 9 will be at or above the National average/mean.</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By the completion of 2019. School Staff Survey targets will increase by at least 10% across each Domain.</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1.4</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The school meeting schedule will be restructured to ensure that 50% of available time is allocated to building capacity in teaching and learning.</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1</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 xml:space="preserve">Effectively implement the Victorian Curriculum at the point of need for every student (CPA)   </w:t>
              <w:br/>
              <w:br/>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Provide a viable senior secondary curriculum (CPA)</w:t>
              <w:br/>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3</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Action an evidence based teaching and learning model in a consistent manner across the school (BPE)</w:t>
              <w:br/>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4</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Build staff capacity in data literacy. (CPA)</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 xml:space="preserve">KIS 1. 3 &amp; 4 will be the focus for 2019. The focus will be clearly on literacy development with a focus on Reading &amp; Writing and in accordance to the NMR initiative of literacy learning through the Teaching Partners initiative. KIS 2 will be guided and driven by the neighbourhood pathway provision including collaboration with our school community including The Lakes Working Party. </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ensure student wellbeing is enabled by a supportive and productive learning environment.</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By the completion of 2019. School AToSS  targets will increase by at least 10% across each Dimension.</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By the completion of 2019. SSS targets will increase by at least 10% across each Dimension.</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By the completion of 2019. the POS targets will continue to be maintained or improved.</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1</w:t>
            </w:r>
          </w:p>
          <w:p>
            <w:r>
              <w:rPr>
                <w:sz w:val="20"/>
              </w:rPr>
              <w:t>Setting expectations and promoting inclusion</w:t>
            </w:r>
          </w:p>
        </w:tc>
        <w:tc>
          <w:tcPr>
            <w:tcW w:w="8250" w:type="dxa"/>
            <w:shd w:val="clear" w:color="auto" w:fill="auto"/>
            <w:noWrap w:val="0"/>
          </w:tcPr>
          <w:p w:rsidR="00DB56D4" w:rsidRPr="00D43286" w:rsidP="00BB23C7">
            <w:pPr>
              <w:pStyle w:val="ESBodyText"/>
              <w:spacing w:after="0"/>
              <w:rPr>
                <w:b/>
              </w:rPr>
            </w:pPr>
            <w:r>
              <w:rPr>
                <w:sz w:val="20"/>
              </w:rPr>
              <w:t>To investigate and implement a whole school model of student behaviour management that is age appropriate and effective. (SEI)</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2</w:t>
            </w:r>
          </w:p>
          <w:p>
            <w:r>
              <w:rPr>
                <w:sz w:val="20"/>
              </w:rPr>
              <w:t>Health and wellbeing</w:t>
            </w:r>
          </w:p>
        </w:tc>
        <w:tc>
          <w:tcPr>
            <w:tcW w:w="8250" w:type="dxa"/>
            <w:shd w:val="clear" w:color="auto" w:fill="auto"/>
            <w:noWrap w:val="0"/>
          </w:tcPr>
          <w:p w:rsidR="00DB56D4" w:rsidRPr="00D43286" w:rsidP="00BB23C7">
            <w:pPr>
              <w:pStyle w:val="ESBodyText"/>
              <w:spacing w:after="0"/>
              <w:rPr>
                <w:b/>
              </w:rPr>
            </w:pPr>
            <w:r>
              <w:rPr>
                <w:sz w:val="20"/>
              </w:rPr>
              <w:t>To ensure effective and shared leadership at all levels that supports the wellbeing of staff and students. (SHW)</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3</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To ensure effective teaching and learning practices occur within the adaptive learning spaces. (BPE)</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The school has identifed the need to clearly establish an agreed and student appropriate whole school model of behaviour management that is clearly adhered to and adminisitered. The focus will be to investigate a number of models, share the knowledge and include the learning with all relevant stakeholders. The need to critically examine our learning spaces and to re-establish a collective responsibility on student learning, welfare and engagement based on agreed protocols and whole school culture.</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optimise the engagement of student in their learning with a focus on student agency.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By the completion of 2019. AToSS argets will increase by at least 15% in Student Voice &amp; Agency.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By the completion of 2019. School Staff Survey targets will increase by at least 10% across each Dimension.</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By the completion of 2019. POS Survey targets will increase by at least 10% across each Dimension.</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1</w:t>
            </w:r>
          </w:p>
          <w:p>
            <w:r>
              <w:rPr>
                <w:sz w:val="20"/>
              </w:rPr>
              <w:t>Intellectual engagement and self-awareness</w:t>
            </w:r>
          </w:p>
        </w:tc>
        <w:tc>
          <w:tcPr>
            <w:tcW w:w="8250" w:type="dxa"/>
            <w:shd w:val="clear" w:color="auto" w:fill="auto"/>
            <w:noWrap w:val="0"/>
          </w:tcPr>
          <w:p w:rsidR="00DB56D4" w:rsidRPr="00D43286" w:rsidP="00BB23C7">
            <w:pPr>
              <w:pStyle w:val="ESBodyText"/>
              <w:spacing w:after="0"/>
              <w:rPr>
                <w:b/>
              </w:rPr>
            </w:pPr>
            <w:r>
              <w:rPr>
                <w:sz w:val="20"/>
              </w:rPr>
              <w:t xml:space="preserve">Build a culture where teachers and students work together and student voice, agency and leadership are understood and evident. (IES) </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2</w:t>
            </w:r>
          </w:p>
          <w:p>
            <w:r>
              <w:rPr>
                <w:sz w:val="20"/>
              </w:rPr>
              <w:t>Intellectual engagement and self-awareness</w:t>
            </w:r>
          </w:p>
        </w:tc>
        <w:tc>
          <w:tcPr>
            <w:tcW w:w="8250" w:type="dxa"/>
            <w:shd w:val="clear" w:color="auto" w:fill="auto"/>
            <w:noWrap w:val="0"/>
          </w:tcPr>
          <w:p w:rsidR="00DB56D4" w:rsidRPr="00D43286" w:rsidP="00BB23C7">
            <w:pPr>
              <w:pStyle w:val="ESBodyText"/>
              <w:spacing w:after="0"/>
              <w:rPr>
                <w:b/>
              </w:rPr>
            </w:pPr>
            <w:r>
              <w:rPr>
                <w:sz w:val="20"/>
              </w:rPr>
              <w:t xml:space="preserve">Use effective feedback strategies to gather information on students understanding, to work with students to advance student learning and to verify the impact of teaching practice. (IES)  </w:t>
            </w:r>
          </w:p>
        </w:tc>
        <w:tc>
          <w:tcPr>
            <w:tcW w:w="3188" w:type="dxa"/>
            <w:noWrap w:val="0"/>
          </w:tcPr>
          <w:p w:rsidR="00DB56D4" w:rsidRPr="00D43286" w:rsidP="00BB23C7">
            <w:pPr>
              <w:pStyle w:val="ESBodyText"/>
              <w:spacing w:after="0"/>
              <w:rPr>
                <w:b/>
              </w:rPr>
            </w:pPr>
            <w:r>
              <w:rPr>
                <w:sz w:val="20"/>
              </w:rPr>
              <w:t>No</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 xml:space="preserve">Develop a whole school culture of student voice, agency and leadership. This will focus on upacking the DET Amplify initiative collectively, both formally and informally. Targeted meeting schedules and PLD will be on professional development and engaging professional organisations to drive and review key dimensions and how they value add to teaching and learning &amp; student outcomes. </w:t>
            </w:r>
          </w:p>
        </w:tc>
      </w:tr>
    </w:tbl>
    <w:p w:rsidR="000A423E" w:rsidP="004E7357">
      <w:pPr>
        <w:pStyle w:val="ESBodyText"/>
      </w:pPr>
    </w:p>
    <w:p/>
    <w:p/>
    <w:p>
      <w:pPr>
        <w:sectPr w:rsidSect="001C3D92">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maximise the achievement and learning growth of every student in literacy and numeracy.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By the completion of 2019 NAPLAN relative growth ( Low.Medium &amp; High) will increase by 5% in comparison to the 2018 data. </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by the completion of 2019 NAPLAN data in Reading, Writing &amp; Numeracy in Years 3, 5, 7 &amp; 9 will be at or above the National average/mean.</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By the completion of 2019. School Staff Survey targets will increase by at least 10% across each Domain.</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1.4</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The school meeting schedule will be restructured to ensure that 50% of available time is allocated to building capacity in teaching and learning.</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1</w:t>
            </w:r>
          </w:p>
          <w:p>
            <w:r>
              <w:rPr>
                <w:sz w:val="20"/>
              </w:rPr>
              <w:t>Curriculum planning and assessment</w:t>
            </w:r>
          </w:p>
        </w:tc>
        <w:tc>
          <w:tcPr>
            <w:tcW w:w="11996" w:type="dxa"/>
            <w:gridSpan w:val="5"/>
            <w:shd w:val="clear" w:color="auto" w:fill="62BFEB"/>
            <w:noWrap w:val="0"/>
          </w:tcPr>
          <w:p w:rsidR="00973DEE" w:rsidRPr="00FE3D5C" w:rsidP="00FE3D5C">
            <w:pPr>
              <w:pStyle w:val="ESBodyText"/>
              <w:spacing w:after="0"/>
              <w:rPr>
                <w:sz w:val="20"/>
                <w:szCs w:val="24"/>
              </w:rPr>
            </w:pPr>
            <w:r>
              <w:rPr>
                <w:sz w:val="20"/>
              </w:rPr>
              <w:t xml:space="preserve">Effectively implement the Victorian Curriculum at the point of need for every student (CPA)   </w:t>
              <w:br/>
              <w:br/>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The restructire of the LTs and Learning Specialist positions or responsibility ( additional staffing )</w:t>
              <w:br/>
              <w:t xml:space="preserve">Additional Leadership responsibilites in the management of the T &amp; L </w:t>
              <w:br/>
              <w:t>Engagement of the Teaching Partners</w:t>
              <w:br/>
              <w:t xml:space="preserve">Restructuring of the Meeting Schedule that includes weekly meetings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Building teaching capacity and collective understanding to consistently apply effective principles in Reading curriculum</w:t>
              <w:br/>
              <w:t>Greater confidence in the collection, analysis and use of student reading data across all levels</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An improvement in our reading data in both Student Judgment data and NAPLAN</w:t>
              <w:br/>
              <w:t xml:space="preserve">To reduce the gap between Teacher Judgenent and NAPLAN data </w:t>
              <w:br/>
              <w:t>To develop the level of depth and increased growth in cohort data in Reading in conjunction with the work completed by the Teaching Partners.</w:t>
              <w:br/>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 The restructure of the LTs and Learning Specialist positions or responsibility </w:t>
              <w:br/>
              <w:t>( additional staffing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$220,000.00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Additional Leadership responsibilites in the management of the T &amp; L </w:t>
              <w:br/>
              <w:t>To include the additional release of key leaders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Engagement of the Teaching Partners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 (DSSI)</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Restructuring of the Meeting Schedule that includes weekly meetings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2</w:t>
            </w:r>
          </w:p>
          <w:p>
            <w:r>
              <w:rPr>
                <w:sz w:val="20"/>
              </w:rPr>
              <w:t>Curriculum planning and assessment</w:t>
            </w:r>
          </w:p>
        </w:tc>
        <w:tc>
          <w:tcPr>
            <w:tcW w:w="11996" w:type="dxa"/>
            <w:gridSpan w:val="5"/>
            <w:shd w:val="clear" w:color="auto" w:fill="62BFEB"/>
            <w:noWrap w:val="0"/>
          </w:tcPr>
          <w:p w:rsidR="00973DEE" w:rsidRPr="00FE3D5C" w:rsidP="00FE3D5C">
            <w:pPr>
              <w:pStyle w:val="ESBodyText"/>
              <w:spacing w:after="0"/>
              <w:rPr>
                <w:sz w:val="20"/>
                <w:szCs w:val="24"/>
              </w:rPr>
            </w:pPr>
            <w:r>
              <w:rPr>
                <w:sz w:val="20"/>
              </w:rPr>
              <w:t>Provide a viable senior secondary curriculum (CPA)</w:t>
              <w:br/>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Develpment of THE neigbourhood senior school provision working group to explore options inconJunction with NEMA</w:t>
              <w:br/>
              <w:t xml:space="preserve">To establish a range of consultations with the school community and relevant stakeholders </w:t>
              <w:br/>
              <w:t>To provide staff with the professional learning opportunities to explore teaching provisions at the senior levels and in their relevant subject areas</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Agreed school provision and protocols amongst the neighbourhood schools</w:t>
              <w:br/>
              <w:t>Competence, excitement and ability to teach effectively at the senior level including the effective use of study designs</w:t>
              <w:br/>
              <w:t>Commencement in 2020 of a viable and dynamic Year 10 curriculum program</w:t>
              <w:br/>
              <w:t>Build staff networks across a range of professional networks and affiliations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 xml:space="preserve">The successful  introduction of an effective and viable Year 10 curriculum program </w:t>
              <w:br/>
              <w:t xml:space="preserve">Growth in total school enrolments </w:t>
              <w:br/>
              <w:t xml:space="preserve">Build an effective neighbourhood school consultation process </w:t>
              <w:br/>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Develpment of the neigbourhood senior school provision working group to explore options in conjunction with NEMA</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Managed Individual Pathways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To establish a range of consultations with the school community and relevant stakeholders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To provide staff with the professional learning opportunities to explore teaching provisions at the senior levels and in their relevant subject areas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KLA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Managed Individual Pathways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3</w:t>
            </w:r>
          </w:p>
          <w:p>
            <w:r>
              <w:rPr>
                <w:sz w:val="20"/>
              </w:rPr>
              <w:t>Building practice excellence</w:t>
            </w:r>
          </w:p>
        </w:tc>
        <w:tc>
          <w:tcPr>
            <w:tcW w:w="11996" w:type="dxa"/>
            <w:gridSpan w:val="5"/>
            <w:shd w:val="clear" w:color="auto" w:fill="62BFEB"/>
            <w:noWrap w:val="0"/>
          </w:tcPr>
          <w:p w:rsidR="00973DEE" w:rsidRPr="00FE3D5C" w:rsidP="00FE3D5C">
            <w:pPr>
              <w:pStyle w:val="ESBodyText"/>
              <w:spacing w:after="0"/>
              <w:rPr>
                <w:sz w:val="20"/>
                <w:szCs w:val="24"/>
              </w:rPr>
            </w:pPr>
            <w:r>
              <w:rPr>
                <w:sz w:val="20"/>
              </w:rPr>
              <w:t>Action an evidence based teaching and learning model in a consistent manner across the school (BPE)</w:t>
              <w:br/>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Unpack the DET preferred learning model with all staff</w:t>
              <w:br/>
              <w:t xml:space="preserve">To develop a structured and defined professional learning schedule </w:t>
              <w:br/>
              <w:t xml:space="preserve">Provision of time and PD for key leaders </w:t>
              <w:br/>
              <w:t xml:space="preserve">To ensure that learning for all staff is central to the PDP process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An agreed and defined set of Teaching &amp; Learning protocols</w:t>
              <w:br/>
              <w:t>A higher level of competency by all staff in delivering Teaching &amp; Learning across the school</w:t>
              <w:br/>
              <w:br/>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Formalise and demonstrated evidence and growth in staff PDP's</w:t>
              <w:br/>
              <w:t xml:space="preserve">Identified and communicated school protocols across the school </w:t>
              <w:br/>
              <w:br/>
              <w:br/>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Unpack the DET preferred learning model with all staff</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To develop a structured and defined professional learning schedule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Provision of time and PD for key leaders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To ensure that learning for all staff is central to the PDP process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$120,000.00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4</w:t>
            </w:r>
          </w:p>
          <w:p>
            <w:r>
              <w:rPr>
                <w:sz w:val="20"/>
              </w:rPr>
              <w:t>Curriculum planning and assessment</w:t>
            </w:r>
          </w:p>
        </w:tc>
        <w:tc>
          <w:tcPr>
            <w:tcW w:w="11996" w:type="dxa"/>
            <w:gridSpan w:val="5"/>
            <w:shd w:val="clear" w:color="auto" w:fill="62BFEB"/>
            <w:noWrap w:val="0"/>
          </w:tcPr>
          <w:p w:rsidR="00973DEE" w:rsidRPr="00FE3D5C" w:rsidP="00FE3D5C">
            <w:pPr>
              <w:pStyle w:val="ESBodyText"/>
              <w:spacing w:after="0"/>
              <w:rPr>
                <w:sz w:val="20"/>
                <w:szCs w:val="24"/>
              </w:rPr>
            </w:pPr>
            <w:r>
              <w:rPr>
                <w:sz w:val="20"/>
              </w:rPr>
              <w:t>Build staff capacity in data literacy. (CPA)</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Work effectively with the Teaching Partners at multiple levels to develop literacy skills across all levels of T &amp; L</w:t>
              <w:br/>
              <w:t>Provision of time for LT an LS to coach, mentor and support teaching teams and building data literacy capacity</w:t>
              <w:br/>
              <w:t xml:space="preserve">Ongoing monitoring of student data and growth at senior level ensuring teacher accountability throughout the process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Teaching Partners to meet with and work with the primary teachers on a weekly basis</w:t>
              <w:br/>
              <w:t>Greater and more effective use of student outcome data across the school</w:t>
              <w:br/>
              <w:t xml:space="preserve">Follow up and review of individual and cohort data outcomes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 xml:space="preserve">Data gathered and analysed by the Teaching Partners </w:t>
              <w:br/>
              <w:t xml:space="preserve">Increased number of students across all levels demonstrating medium and high growth </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Work effectively with the Teaching Partners at multiple levels to develop literacy skills across all levels of T &amp; L</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 (DSSI)</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Provision of time for LT an LS to coach, mentor and support teaching teams and building data literacy capacity</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$110,000.00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Ongoing monitoring of student data and growth at senior level ensuring teacher accountability throughout the process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 (DSSI)</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$140,000.00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ensure student wellbeing is enabled by a supportive and productive learning environment.</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By the completion of 2019. School AToSS  targets will increase by at least 10% across each Dimension.</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By the completion of 2019. SSS targets will increase by at least 10% across each Dimension.</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By the completion of 2019. the POS targets will continue to be maintained or improved.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1</w:t>
            </w:r>
          </w:p>
          <w:p>
            <w:r>
              <w:rPr>
                <w:sz w:val="20"/>
              </w:rPr>
              <w:t>Setting expectations and promoting inclusion</w:t>
            </w:r>
          </w:p>
        </w:tc>
        <w:tc>
          <w:tcPr>
            <w:tcW w:w="11996" w:type="dxa"/>
            <w:gridSpan w:val="5"/>
            <w:shd w:val="clear" w:color="auto" w:fill="auto"/>
            <w:noWrap w:val="0"/>
          </w:tcPr>
          <w:p w:rsidR="00973DEE" w:rsidRPr="00FE3D5C" w:rsidP="00FE3D5C">
            <w:pPr>
              <w:pStyle w:val="ESBodyText"/>
              <w:spacing w:after="0"/>
              <w:rPr>
                <w:sz w:val="20"/>
                <w:szCs w:val="24"/>
              </w:rPr>
            </w:pPr>
            <w:r>
              <w:rPr>
                <w:sz w:val="20"/>
              </w:rPr>
              <w:t>To investigate and implement a whole school model of student behaviour management that is age appropriate and effective. (SEI)</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xml:space="preserve">Investigate a range of options and behaviour models that would best suit our school environment needs </w:t>
              <w:br/>
              <w:t xml:space="preserve">Re establish school protocols that will underpin the selected behaviour model </w:t>
              <w:br/>
              <w:t xml:space="preserve">Engage a range of community partnership projects to support the implementation process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Agreed model of behaviour management</w:t>
              <w:br/>
              <w:t xml:space="preserve">A consistent approach in the implementaion of the behaviour model </w:t>
              <w:br/>
              <w:t xml:space="preserve">Effective teacher training on the selected beahviour model </w:t>
              <w:br/>
              <w:t>Greaterr community confidence in the implemenation of consistent behaviour management practices</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Improved AoTTS results data</w:t>
              <w:br/>
              <w:t>Improved SOS results data</w:t>
              <w:br/>
              <w:t xml:space="preserve">Improved POS results data </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Investigate a range of options and behaviour models that would best suit our school environment needs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 establish school protocols that will underpin the selected behaviour model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Sub School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Engage a range of community partnership projects to support the implementation process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2</w:t>
            </w:r>
          </w:p>
          <w:p>
            <w:r>
              <w:rPr>
                <w:sz w:val="20"/>
              </w:rPr>
              <w:t>Health and wellbeing</w:t>
            </w:r>
          </w:p>
        </w:tc>
        <w:tc>
          <w:tcPr>
            <w:tcW w:w="11996" w:type="dxa"/>
            <w:gridSpan w:val="5"/>
            <w:shd w:val="clear" w:color="auto" w:fill="auto"/>
            <w:noWrap w:val="0"/>
          </w:tcPr>
          <w:p w:rsidR="00973DEE" w:rsidRPr="00FE3D5C" w:rsidP="00FE3D5C">
            <w:pPr>
              <w:pStyle w:val="ESBodyText"/>
              <w:spacing w:after="0"/>
              <w:rPr>
                <w:sz w:val="20"/>
                <w:szCs w:val="24"/>
              </w:rPr>
            </w:pPr>
            <w:r>
              <w:rPr>
                <w:sz w:val="20"/>
              </w:rPr>
              <w:t>To ensure effective and shared leadership at all levels that supports the wellbeing of staff and students. (SHW)</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xml:space="preserve">Restructure of Principal/Management teams with senior people leading teams in T &amp; L and Student Management operations </w:t>
              <w:br/>
              <w:t xml:space="preserve">Re establishment of Home Groups in the secondary setting </w:t>
              <w:br/>
              <w:t>Changes to spaces in P-4 learning areas to improve support in staff and student wellbeing</w:t>
              <w:br/>
              <w:t xml:space="preserve">More effective use of Allied Support and ES Staff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 xml:space="preserve">Improvements in the overall performance data across the AToSS, SSS &amp; POS </w:t>
              <w:br/>
              <w:t xml:space="preserve">The successful implementation of the Home Group program in Years 7-9 </w:t>
              <w:br/>
              <w:t xml:space="preserve">Improved tracking of student attendance </w:t>
              <w:br/>
              <w:t xml:space="preserve">Improved conectedness between staff and students </w:t>
              <w:br/>
              <w:t>Provision for access to alied professionals for staff , students and our local community.</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A minumum of 10% increase in each of the selected surveys listed</w:t>
              <w:br/>
              <w:t xml:space="preserve">Presentation of data from allied staff on student/family access to relevant services  provided </w:t>
              <w:br/>
              <w:t>( speech pathology/school nurse/headspace )</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Restructure of Principal/Management teams with senior people leading teams in T &amp; L and Student Management operations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$120,000.00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 establishment of Home Groups in the secondary setting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Changes to spaces in P-4 learning areas to improve support in staff and student wellbeing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$20,000.00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More effective use of Allied Support and ES Staff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Allied Health</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$75,000.00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3</w:t>
            </w:r>
          </w:p>
          <w:p>
            <w:r>
              <w:rPr>
                <w:sz w:val="20"/>
              </w:rPr>
              <w:t>Building practice excellence</w:t>
            </w:r>
          </w:p>
        </w:tc>
        <w:tc>
          <w:tcPr>
            <w:tcW w:w="11996" w:type="dxa"/>
            <w:gridSpan w:val="5"/>
            <w:shd w:val="clear" w:color="auto" w:fill="62BFEB"/>
            <w:noWrap w:val="0"/>
          </w:tcPr>
          <w:p w:rsidR="00973DEE" w:rsidRPr="00FE3D5C" w:rsidP="00FE3D5C">
            <w:pPr>
              <w:pStyle w:val="ESBodyText"/>
              <w:spacing w:after="0"/>
              <w:rPr>
                <w:sz w:val="20"/>
                <w:szCs w:val="24"/>
              </w:rPr>
            </w:pPr>
            <w:r>
              <w:rPr>
                <w:sz w:val="20"/>
              </w:rPr>
              <w:t>To ensure effective teaching and learning practices occur within the adaptive learning spaces. (BPE)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Initiating a think tank amongst staff on the use of teaching and learning spaces and protocols</w:t>
              <w:br/>
              <w:t xml:space="preserve">Regular PD on maximised use of teaching spaces </w:t>
              <w:br/>
              <w:t>The effective implementation of the agreed behaviour management model</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 xml:space="preserve">The effective use of learning spaces to maximise student learning outcomes and engagement  </w:t>
              <w:br/>
              <w:t xml:space="preserve">Teachers working collaboratively to redefine learning spaces </w:t>
              <w:br/>
              <w:t xml:space="preserve">Students demonstrating greater agency in their learning and environment </w:t>
              <w:br/>
              <w:t>Greater emphasis in school pride across the school community</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Evidence will be based on a minimum improvement of 10% in the AToSS , SSS &amp; POS.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Initiating a think tank amongst staff on the use of teaching and learning spaces and protocols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$110,000.00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Regular PD on maximised use of teaching spaces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br/>
              <w:t>The effective implementation of the agreed behaviour management model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optimise the engagement of student in their learning with a focus on student agency.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By the completion of 2019. AToSS argets will increase by at least 15% in Student Voice &amp; Agency.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By the completion of 2019. School Staff Survey targets will increase by at least 10% across each Dimension.</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By the completion of 2019. POS Survey targets will increase by at least 10% across each Dimension.</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1</w:t>
            </w:r>
          </w:p>
          <w:p>
            <w:r>
              <w:rPr>
                <w:sz w:val="20"/>
              </w:rPr>
              <w:t>Intellectual engagement and self-awareness</w:t>
            </w:r>
          </w:p>
        </w:tc>
        <w:tc>
          <w:tcPr>
            <w:tcW w:w="11996" w:type="dxa"/>
            <w:gridSpan w:val="5"/>
            <w:shd w:val="clear" w:color="auto" w:fill="auto"/>
            <w:noWrap w:val="0"/>
          </w:tcPr>
          <w:p w:rsidR="00973DEE" w:rsidRPr="00FE3D5C" w:rsidP="00FE3D5C">
            <w:pPr>
              <w:pStyle w:val="ESBodyText"/>
              <w:spacing w:after="0"/>
              <w:rPr>
                <w:sz w:val="20"/>
                <w:szCs w:val="24"/>
              </w:rPr>
            </w:pPr>
            <w:r>
              <w:rPr>
                <w:sz w:val="20"/>
              </w:rPr>
              <w:t xml:space="preserve">Build a culture where teachers and students work together and student voice, agency and leadership are understood and evident. (IES) </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xml:space="preserve">To unpack and understand the DET Amplify initiative </w:t>
              <w:br/>
              <w:t>To develop a range of strategies and programs that are focused on student agency</w:t>
              <w:br/>
              <w:t xml:space="preserve">To assimilate student agency throughout the Teaching &amp; Learning programs  </w:t>
              <w:br/>
              <w:t xml:space="preserve">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 xml:space="preserve">Staff PDP that includes demonstrated evidence of student feedback use and change of practice </w:t>
              <w:br/>
              <w:t xml:space="preserve">Staff clearly articulate a range of strategies employed in their Teaching &amp; Learning on student agency and student voice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By the completion of 2019. AToSS argets will increase by at least 15% in Student Voice &amp; Agency</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To unpack and understand the DET Amplify initiative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To develop a range of strategies and programs that are focused on student agency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To assimilate student agency throughout the Teaching &amp; Learning programs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bl>
    <w:p w:rsidR="006307C3" w:rsidP="006C7A56">
      <w:pPr>
        <w:pStyle w:val="ESBodyText"/>
      </w:pPr>
    </w:p>
    <w:p/>
    <w:p/>
    <w:p>
      <w:pPr>
        <w:sectPr w:rsidSect="006C7A56">
          <w:headerReference w:type="even" r:id="rId22"/>
          <w:headerReference w:type="default" r:id="rId23"/>
          <w:footerReference w:type="default" r:id="rId24"/>
          <w:headerReference w:type="first" r:id="rId25"/>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Equity Funding Planner </w:t>
      </w:r>
    </w:p>
    <w:p w:rsidR="00DA3296"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tblPr>
      <w:tblGrid>
        <w:gridCol w:w="10132"/>
        <w:gridCol w:w="1755"/>
        <w:gridCol w:w="1755"/>
      </w:tblGrid>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Spend ($)</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Equity funding associated with Activities and Milestones</w:t>
            </w:r>
          </w:p>
        </w:tc>
        <w:tc>
          <w:tcPr>
            <w:tcW w:w="1755" w:type="dxa"/>
            <w:noWrap w:val="0"/>
          </w:tcPr>
          <w:p w:rsidR="001F61DE" w:rsidRPr="00DA3296" w:rsidP="001F61DE">
            <w:pPr>
              <w:spacing w:after="0" w:line="240" w:lineRule="auto"/>
              <w:rPr>
                <w:sz w:val="20"/>
                <w:szCs w:val="20"/>
              </w:rPr>
            </w:pPr>
            <w:r>
              <w:rPr>
                <w:sz w:val="20"/>
              </w:rPr>
              <w:t>$470,000.00</w:t>
            </w:r>
          </w:p>
        </w:tc>
        <w:tc>
          <w:tcPr>
            <w:tcW w:w="1755" w:type="dxa"/>
            <w:noWrap w:val="0"/>
          </w:tcPr>
          <w:p w:rsidR="001F61DE" w:rsidRPr="00DA3296" w:rsidP="001F61DE">
            <w:pPr>
              <w:spacing w:after="0" w:line="240" w:lineRule="auto"/>
              <w:rPr>
                <w:sz w:val="20"/>
                <w:szCs w:val="20"/>
              </w:rPr>
            </w:pPr>
            <w:r>
              <w:rPr>
                <w:sz w:val="20"/>
              </w:rPr>
              <w:t>$370,000.00</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Additional Equity funding</w:t>
            </w:r>
          </w:p>
        </w:tc>
        <w:tc>
          <w:tcPr>
            <w:tcW w:w="1755" w:type="dxa"/>
            <w:noWrap w:val="0"/>
          </w:tcPr>
          <w:p w:rsidR="001F61DE" w:rsidRPr="00DA3296" w:rsidP="001F61DE">
            <w:pPr>
              <w:spacing w:after="0" w:line="240" w:lineRule="auto"/>
              <w:rPr>
                <w:sz w:val="20"/>
                <w:szCs w:val="20"/>
              </w:rPr>
            </w:pPr>
            <w:r>
              <w:rPr>
                <w:sz w:val="20"/>
              </w:rPr>
              <w:t>$0.00</w:t>
            </w:r>
          </w:p>
        </w:tc>
        <w:tc>
          <w:tcPr>
            <w:tcW w:w="1755" w:type="dxa"/>
            <w:noWrap w:val="0"/>
          </w:tcPr>
          <w:p w:rsidR="001F61DE" w:rsidRPr="00DA3296" w:rsidP="001F61DE">
            <w:pPr>
              <w:spacing w:after="0" w:line="240" w:lineRule="auto"/>
              <w:rPr>
                <w:sz w:val="20"/>
                <w:szCs w:val="20"/>
              </w:rPr>
            </w:pPr>
            <w:r>
              <w:rPr>
                <w:sz w:val="20"/>
              </w:rPr>
              <w:t>$0.00</w:t>
            </w:r>
          </w:p>
        </w:tc>
      </w:tr>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$470,000.00</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$370,000.00</w:t>
            </w:r>
          </w:p>
        </w:tc>
      </w:tr>
    </w:tbl>
    <w:p w:rsidR="00F5461B" w:rsidP="007B0A9A">
      <w:pPr>
        <w:spacing w:after="0" w:line="240" w:lineRule="auto"/>
        <w:rPr>
          <w:sz w:val="20"/>
          <w:szCs w:val="20"/>
        </w:rPr>
      </w:pPr>
    </w:p>
    <w:p w:rsidR="003B58DD" w:rsidP="00DA3296">
      <w:pPr>
        <w:pStyle w:val="ESSubheading1"/>
        <w:spacing w:after="120"/>
      </w:pPr>
    </w:p>
    <w:p w:rsidR="00DA3296" w:rsidRPr="00DA3296"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tblPr>
      <w:tblGrid>
        <w:gridCol w:w="4489"/>
        <w:gridCol w:w="1504"/>
        <w:gridCol w:w="4139"/>
        <w:gridCol w:w="1756"/>
        <w:gridCol w:w="1756"/>
      </w:tblGrid>
      <w:tr w:rsidTr="001F61DE">
        <w:tblPrEx>
          <w:tblW w:w="15281" w:type="dxa"/>
          <w:tblInd w:w="-545" w:type="dxa"/>
          <w:tblLayout w:type="fixed"/>
          <w:tblCellMar>
            <w:top w:w="57" w:type="dxa"/>
            <w:bottom w:w="57" w:type="dxa"/>
          </w:tblCellMar>
          <w:tblLook w:val="04A0"/>
        </w:tblPrEx>
        <w:trPr>
          <w:trHeight w:val="296"/>
        </w:trPr>
        <w:tc>
          <w:tcPr>
            <w:tcW w:w="4490"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Equity Spend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Additional Leadership responsibilites in the management of the T &amp; L </w:t>
              <w:br/>
              <w:t>To include the additional release of key leaders</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6" w:type="dxa"/>
            <w:noWrap w:val="0"/>
          </w:tcPr>
          <w:p w:rsidR="001F61DE" w:rsidRPr="00404526" w:rsidP="00F5461B">
            <w:pPr>
              <w:spacing w:after="0" w:line="240" w:lineRule="auto"/>
              <w:rPr>
                <w:sz w:val="20"/>
                <w:szCs w:val="24"/>
              </w:rPr>
            </w:pPr>
            <w:r>
              <w:rPr>
                <w:sz w:val="20"/>
              </w:rPr>
              <w:t>$100,000.00</w:t>
            </w:r>
          </w:p>
        </w:tc>
        <w:tc>
          <w:tcPr>
            <w:tcW w:w="1756" w:type="dxa"/>
            <w:noWrap w:val="0"/>
          </w:tcPr>
          <w:p w:rsidR="001F61DE" w:rsidRPr="00404526" w:rsidP="00F5461B">
            <w:pPr>
              <w:spacing w:after="0" w:line="240" w:lineRule="auto"/>
              <w:rPr>
                <w:sz w:val="20"/>
                <w:szCs w:val="24"/>
              </w:rPr>
            </w:pPr>
            <w:r>
              <w:rPr>
                <w:sz w:val="20"/>
              </w:rPr>
              <w:t>$100,000.00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Engagement of the Teaching Partners</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$30,000.00</w:t>
            </w:r>
          </w:p>
        </w:tc>
        <w:tc>
          <w:tcPr>
            <w:tcW w:w="1756" w:type="dxa"/>
            <w:noWrap w:val="0"/>
          </w:tcPr>
          <w:p w:rsidR="001F61DE" w:rsidRPr="00404526" w:rsidP="00F5461B">
            <w:pPr>
              <w:spacing w:after="0" w:line="240" w:lineRule="auto"/>
              <w:rPr>
                <w:sz w:val="20"/>
                <w:szCs w:val="24"/>
              </w:rPr>
            </w:pPr>
            <w:r>
              <w:rPr>
                <w:sz w:val="20"/>
              </w:rPr>
              <w:t>$30,000.00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To ensure that learning for all staff is central to the PDP process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6" w:type="dxa"/>
            <w:noWrap w:val="0"/>
          </w:tcPr>
          <w:p w:rsidR="001F61DE" w:rsidRPr="00404526" w:rsidP="00F5461B">
            <w:pPr>
              <w:spacing w:after="0" w:line="240" w:lineRule="auto"/>
              <w:rPr>
                <w:sz w:val="20"/>
                <w:szCs w:val="24"/>
              </w:rPr>
            </w:pPr>
            <w:r>
              <w:rPr>
                <w:sz w:val="20"/>
              </w:rPr>
              <w:t>$120,000.00</w:t>
            </w:r>
          </w:p>
        </w:tc>
        <w:tc>
          <w:tcPr>
            <w:tcW w:w="1756" w:type="dxa"/>
            <w:noWrap w:val="0"/>
          </w:tcPr>
          <w:p w:rsidR="001F61DE" w:rsidRPr="00404526" w:rsidP="00F5461B">
            <w:pPr>
              <w:spacing w:after="0" w:line="240" w:lineRule="auto"/>
              <w:rPr>
                <w:sz w:val="20"/>
                <w:szCs w:val="24"/>
              </w:rPr>
            </w:pPr>
            <w:r>
              <w:rPr>
                <w:sz w:val="20"/>
              </w:rPr>
              <w:t>$20,000.00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Work effectively with the Teaching Partners at multiple levels to develop literacy skills across all levels of T &amp; L</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Re establishment of Home Groups in the secondary setting</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6" w:type="dxa"/>
            <w:noWrap w:val="0"/>
          </w:tcPr>
          <w:p w:rsidR="001F61DE" w:rsidRPr="00404526" w:rsidP="00F5461B">
            <w:pPr>
              <w:spacing w:after="0" w:line="240" w:lineRule="auto"/>
              <w:rPr>
                <w:sz w:val="20"/>
                <w:szCs w:val="24"/>
              </w:rPr>
            </w:pPr>
            <w:r>
              <w:rPr>
                <w:sz w:val="20"/>
              </w:rPr>
              <w:t>$100,000.00</w:t>
            </w:r>
          </w:p>
        </w:tc>
        <w:tc>
          <w:tcPr>
            <w:tcW w:w="1756" w:type="dxa"/>
            <w:noWrap w:val="0"/>
          </w:tcPr>
          <w:p w:rsidR="001F61DE" w:rsidRPr="00404526" w:rsidP="00F5461B">
            <w:pPr>
              <w:spacing w:after="0" w:line="240" w:lineRule="auto"/>
              <w:rPr>
                <w:sz w:val="20"/>
                <w:szCs w:val="24"/>
              </w:rPr>
            </w:pPr>
            <w:r>
              <w:rPr>
                <w:sz w:val="20"/>
              </w:rPr>
              <w:t>$100,000.00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More effective use of Allied Support and ES Staff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Support services</w:t>
            </w:r>
          </w:p>
        </w:tc>
        <w:tc>
          <w:tcPr>
            <w:tcW w:w="1756" w:type="dxa"/>
            <w:noWrap w:val="0"/>
          </w:tcPr>
          <w:p w:rsidR="001F61DE" w:rsidRPr="00404526" w:rsidP="00F5461B">
            <w:pPr>
              <w:spacing w:after="0" w:line="240" w:lineRule="auto"/>
              <w:rPr>
                <w:sz w:val="20"/>
                <w:szCs w:val="24"/>
              </w:rPr>
            </w:pPr>
            <w:r>
              <w:rPr>
                <w:sz w:val="20"/>
              </w:rPr>
              <w:t>$75,000.00</w:t>
            </w:r>
          </w:p>
        </w:tc>
        <w:tc>
          <w:tcPr>
            <w:tcW w:w="1756" w:type="dxa"/>
            <w:noWrap w:val="0"/>
          </w:tcPr>
          <w:p w:rsidR="001F61DE" w:rsidRPr="00404526" w:rsidP="00F5461B">
            <w:pPr>
              <w:spacing w:after="0" w:line="240" w:lineRule="auto"/>
              <w:rPr>
                <w:sz w:val="20"/>
                <w:szCs w:val="24"/>
              </w:rPr>
            </w:pPr>
            <w:r>
              <w:rPr>
                <w:sz w:val="20"/>
              </w:rPr>
              <w:t>$75,000.00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To assimilate student agency throughout the Teaching &amp; Learning programs</w:t>
            </w:r>
          </w:p>
        </w:tc>
        <w:tc>
          <w:tcPr>
            <w:tcW w:w="1504" w:type="dxa"/>
            <w:noWrap w:val="0"/>
          </w:tcPr>
          <w:p w:rsidR="001F61DE" w:rsidRPr="00404526" w:rsidP="00F5461B">
            <w:pPr>
              <w:spacing w:after="0" w:line="240" w:lineRule="auto"/>
              <w:rPr>
                <w:sz w:val="20"/>
                <w:szCs w:val="24"/>
              </w:rPr>
            </w:pPr>
            <w:r>
              <w:rPr>
                <w:sz w:val="20"/>
              </w:rPr>
              <w:t>from:</w:t>
              <w:br/>
              <w:t>Term 3</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$40,000.00</w:t>
            </w:r>
          </w:p>
        </w:tc>
        <w:tc>
          <w:tcPr>
            <w:tcW w:w="1756" w:type="dxa"/>
            <w:noWrap w:val="0"/>
          </w:tcPr>
          <w:p w:rsidR="001F61DE" w:rsidRPr="00404526" w:rsidP="00F5461B">
            <w:pPr>
              <w:spacing w:after="0" w:line="240" w:lineRule="auto"/>
              <w:rPr>
                <w:sz w:val="20"/>
                <w:szCs w:val="24"/>
              </w:rPr>
            </w:pPr>
            <w:r>
              <w:rPr>
                <w:sz w:val="20"/>
              </w:rPr>
              <w:t>$40,000.00</w:t>
            </w:r>
          </w:p>
        </w:tc>
      </w:tr>
      <w:tr w:rsidTr="001F61DE">
        <w:tblPrEx>
          <w:tblW w:w="15281" w:type="dxa"/>
          <w:tblInd w:w="-545" w:type="dxa"/>
          <w:tblLayout w:type="fixed"/>
          <w:tblCellMar>
            <w:top w:w="57" w:type="dxa"/>
            <w:bottom w:w="57" w:type="dxa"/>
          </w:tblCellMar>
          <w:tblLook w:val="04A0"/>
        </w:tblPrEx>
        <w:trPr>
          <w:wAfter w:w="8" w:type="dxa"/>
          <w:trHeight w:val="332"/>
        </w:trPr>
        <w:tc>
          <w:tcPr>
            <w:tcW w:w="10134"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$470,000.00</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$370,000.00</w:t>
            </w:r>
          </w:p>
        </w:tc>
      </w:tr>
    </w:tbl>
    <w:p w:rsidR="00F5461B" w:rsidP="007B0A9A">
      <w:pPr>
        <w:spacing w:after="0" w:line="240" w:lineRule="auto"/>
        <w:rPr>
          <w:sz w:val="24"/>
          <w:szCs w:val="24"/>
        </w:rPr>
      </w:pPr>
    </w:p>
    <w:p w:rsidR="00F5461B"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tblPr>
      <w:tblGrid>
        <w:gridCol w:w="4490"/>
        <w:gridCol w:w="1504"/>
        <w:gridCol w:w="4138"/>
        <w:gridCol w:w="1755"/>
        <w:gridCol w:w="1755"/>
      </w:tblGrid>
      <w:tr w:rsidTr="001F61DE">
        <w:tblPrEx>
          <w:tblW w:w="15282" w:type="dxa"/>
          <w:tblInd w:w="-545" w:type="dxa"/>
          <w:tblLayout w:type="fixed"/>
          <w:tblCellMar>
            <w:top w:w="57" w:type="dxa"/>
            <w:bottom w:w="57" w:type="dxa"/>
          </w:tblCellMar>
          <w:tblLook w:val="04A0"/>
        </w:tblPrEx>
        <w:trPr>
          <w:trHeight w:val="253"/>
        </w:trPr>
        <w:tc>
          <w:tcPr>
            <w:tcW w:w="4490" w:type="dxa"/>
            <w:shd w:val="clear" w:color="auto" w:fill="D9D9D9" w:themeFill="background1" w:themeFillShade="D9"/>
          </w:tcPr>
          <w:p w:rsidR="001F61DE" w:rsidRPr="00DA3296"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sidR="00216C16">
              <w:rPr>
                <w:b/>
                <w:sz w:val="20"/>
                <w:szCs w:val="20"/>
              </w:rPr>
              <w:t>2019</w:t>
            </w:r>
          </w:p>
        </w:tc>
        <w:tc>
          <w:tcPr>
            <w:tcW w:w="1504"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Equity Spend ($)</w:t>
            </w:r>
          </w:p>
        </w:tc>
      </w:tr>
      <w:tr w:rsidTr="001F61DE">
        <w:tblPrEx>
          <w:tblW w:w="15282" w:type="dxa"/>
          <w:tblInd w:w="-545" w:type="dxa"/>
          <w:tblLayout w:type="fixed"/>
          <w:tblCellMar>
            <w:top w:w="57" w:type="dxa"/>
            <w:bottom w:w="57" w:type="dxa"/>
          </w:tblCellMar>
          <w:tblLook w:val="04A0"/>
        </w:tblPrEx>
        <w:trPr>
          <w:trHeight w:val="284"/>
        </w:trPr>
        <w:tc>
          <w:tcPr>
            <w:tcW w:w="10132"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$0.00</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$0.00</w:t>
            </w:r>
          </w:p>
        </w:tc>
      </w:tr>
    </w:tbl>
    <w:p w:rsidR="00747ADA" w:rsidRPr="00DA3296" w:rsidP="00747ADA">
      <w:pPr>
        <w:pStyle w:val="ESSubheading1"/>
        <w:spacing w:after="120"/>
        <w:ind w:left="0"/>
        <w:sectPr w:rsidSect="00120B7B">
          <w:headerReference w:type="even" r:id="rId26"/>
          <w:headerReference w:type="default" r:id="rId27"/>
          <w:footerReference w:type="default" r:id="rId28"/>
          <w:headerReference w:type="first" r:id="rId29"/>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 The restructure of the LTs and Learning Specialist positions or responsibility </w:t>
              <w:br/>
              <w:t>( additional staffing )</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Bastow program/course</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Engagement of the Teaching Partners</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 (DSSI)</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Unpack the DET preferred learning model with all staff</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1</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expertise</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Work effectively with the Teaching Partners at multiple levels to develop literacy skills across all levels of T &amp; L</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 (DSSI)</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expertise</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Investigate a range of options and behaviour models that would best suit our school environment needs </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partnerships</w:t>
            </w:r>
          </w:p>
          <w:p>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To unpack and understand the DET Amplify initiative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440" w:type="dxa"/>
            <w:noWrap w:val="0"/>
          </w:tcPr>
          <w:p w:rsidR="00C259B6" w:rsidRPr="00FB5F1A" w:rsidP="00FB5F1A">
            <w:pPr>
              <w:spacing w:after="0"/>
            </w:pPr>
            <w:r>
              <w:rPr>
                <w:sz w:val="20"/>
              </w:rPr>
              <w:t>from:</w:t>
              <w:br/>
              <w:t>Term 1</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SEIL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P="004B6AD4">
      <w:pPr>
        <w:pStyle w:val="ESBodyText"/>
      </w:pPr>
    </w:p>
    <w:sectPr w:rsidSect="00CF64C4">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The Lakes South Morang P-9 School (8846) - 2019 - AIP - Overall</w:t>
    </w:r>
    <w:r w:rsidRPr="00793BFC" w:rsidR="000C104E">
      <w:rPr>
        <w:noProof/>
        <w:sz w:val="15"/>
        <w:szCs w:val="15"/>
        <w:lang w:val="en-AU" w:eastAsia="en-AU"/>
      </w:rPr>
      <w:drawing>
        <wp:anchor distT="0" distB="0" distL="114300" distR="114300" simplePos="0" relativeHeight="2516725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The Lakes South Morang P-9 School (8846) - 2019 - Self-evaluation Summary.docx</w:t>
    </w:r>
    <w:r w:rsidRPr="00B4442D" w:rsidR="000C104E">
      <w:rPr>
        <w:noProof/>
        <w:sz w:val="15"/>
        <w:szCs w:val="15"/>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5244942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The Lakes South Morang P-9 School (8846) - 2019 - AIP - Annual Goals Targets and KIS</w:t>
    </w:r>
    <w:r w:rsidRPr="000C104E" w:rsidR="000C104E">
      <w:rPr>
        <w:noProof/>
        <w:lang w:val="en-AU" w:eastAsia="en-AU"/>
      </w:rPr>
      <w:drawing>
        <wp:anchor distT="0" distB="0" distL="114300" distR="114300" simplePos="0" relativeHeight="25168793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981076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61329968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The Lakes South Morang P-9 School (8846) - 2019 - AIP - Actions Outcomes and Activities</w:t>
    </w:r>
    <w:r w:rsidRPr="000C104E" w:rsidR="000C104E">
      <w:rPr>
        <w:noProof/>
        <w:lang w:val="en-AU" w:eastAsia="en-AU"/>
      </w:rPr>
      <w:drawing>
        <wp:anchor distT="0" distB="0" distL="114300" distR="114300" simplePos="0" relativeHeight="25169203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01305253"/>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The Lakes South Morang P-9 School (8846) - 2019 - AIP - Equity Funding Planning</w:t>
    </w:r>
    <w:r w:rsidRPr="00B4442D" w:rsidR="000C104E">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418017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68485596"/>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The Lakes South Morang P-9 School (8846) - 2019 - AIP - Professional Learning Plan</w:t>
    </w:r>
    <w:r w:rsidRPr="000C104E" w:rsid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6826913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91043124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48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998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743755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10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230301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360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281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66741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